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71.5852</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4,759,807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73.0522</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4,760,980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74.4814</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4,762,129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$71.05 to $72.07 on July 1, 2026; (2) $72.17 to $73.95 on July 2, 2026; and (3) $74.11 to $74.77 on July 6,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87,493 common units owned through Raymar Investments S.A., an entity affiliated with Ms. Frangou, pursuant to a Rule 10b5-1 trading plan with UBS Financial Services Inc as of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88,666 common units owned through Raymar Investments S.A., an entity affiliated with Ms. Frangou, pursuant to a Rule 10b5-1 trading plan with UBS Financial Services Inc as of July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89,815 common units owned through Raymar Investments S.A., an entity affiliated with Ms. Frangou, pursuant to a Rule 10b5-1 trading plan with UBS Financial Services Inc as of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6,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5699</Characters>
  <CharactersWithSpaces>6658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